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AC" w:rsidRPr="00347EAC" w:rsidRDefault="00347EAC" w:rsidP="00347EAC">
      <w:pPr>
        <w:jc w:val="center"/>
        <w:rPr>
          <w:b/>
          <w:sz w:val="48"/>
          <w:szCs w:val="24"/>
        </w:rPr>
      </w:pPr>
      <w:r w:rsidRPr="00347EAC">
        <w:rPr>
          <w:b/>
          <w:sz w:val="48"/>
          <w:szCs w:val="24"/>
        </w:rPr>
        <w:t>Третьяковская галерея</w:t>
      </w:r>
    </w:p>
    <w:p w:rsidR="00347EAC" w:rsidRDefault="00347EAC" w:rsidP="00347EA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77386" cy="165159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лере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082" cy="165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EAC" w:rsidRDefault="00347EAC" w:rsidP="00347EAC">
      <w:pPr>
        <w:rPr>
          <w:sz w:val="24"/>
          <w:szCs w:val="24"/>
        </w:rPr>
      </w:pPr>
    </w:p>
    <w:p w:rsidR="00347EAC" w:rsidRPr="00347EAC" w:rsidRDefault="00347EAC" w:rsidP="00347EAC">
      <w:pPr>
        <w:rPr>
          <w:sz w:val="24"/>
          <w:szCs w:val="24"/>
        </w:rPr>
      </w:pPr>
      <w:r w:rsidRPr="00347EAC">
        <w:rPr>
          <w:sz w:val="24"/>
          <w:szCs w:val="24"/>
        </w:rPr>
        <w:t xml:space="preserve">В Лаврушинском переулке Замоскворечья, в доме, который семья Третьяковых купила в 1851 году, находится основное здание Третьяковской галереи. Так как рост собрания постоянно превосходил экспозиционные возможности Галереи, к жилой части особняка постепенно пристраивались новые помещения, необходимые для хранения и демонстрации произведений искусств. Подобные пристройки были сделаны в 1873, 1882, 1885, 1892 и 1902-1904, когда появился знаменитый </w:t>
      </w:r>
      <w:proofErr w:type="spellStart"/>
      <w:r w:rsidRPr="00347EAC">
        <w:rPr>
          <w:sz w:val="24"/>
          <w:szCs w:val="24"/>
        </w:rPr>
        <w:t>Васнецовский</w:t>
      </w:r>
      <w:proofErr w:type="spellEnd"/>
      <w:r w:rsidRPr="00347EAC">
        <w:rPr>
          <w:sz w:val="24"/>
          <w:szCs w:val="24"/>
        </w:rPr>
        <w:t xml:space="preserve"> фасад, который стал эмблемой Третьяковской галереи.</w:t>
      </w:r>
    </w:p>
    <w:p w:rsidR="00347EAC" w:rsidRDefault="00347EAC" w:rsidP="00347EAC">
      <w:pPr>
        <w:rPr>
          <w:sz w:val="24"/>
          <w:szCs w:val="24"/>
        </w:rPr>
      </w:pPr>
      <w:r w:rsidRPr="00347EAC">
        <w:rPr>
          <w:sz w:val="24"/>
          <w:szCs w:val="24"/>
        </w:rPr>
        <w:t xml:space="preserve">2 апреля 1913 года Московская городская дума избрала попечителем  Третьяковской галереи Игоря Эммануиловича Грабаря, видного художника,  архитектора и историка искусства. Главное, чем ознаменовалась деятельность Грабаря, – реформы, превратившие Третьяковскую галерею в музей европейского  типа с экспозицией, построенной по хронологическому принципу. В начале декабря 1913 года, к пятнадцатой годовщине смерти основателя Галереи, реформированный музей был открыт для публики. 3 июня 1918 года Совнарком издал Декрет, который объявлял Третьяковскую галерею государственной собственностью Российской Федеративной Советской Республики. С этого момента музей стал называться Государственной Третьяковской галереей. После национализации  директором Галереи был назначен </w:t>
      </w:r>
      <w:proofErr w:type="spellStart"/>
      <w:r w:rsidRPr="00347EAC">
        <w:rPr>
          <w:sz w:val="24"/>
          <w:szCs w:val="24"/>
        </w:rPr>
        <w:t>И.Э.Грабарь</w:t>
      </w:r>
      <w:proofErr w:type="spellEnd"/>
      <w:r w:rsidRPr="00347EAC">
        <w:rPr>
          <w:sz w:val="24"/>
          <w:szCs w:val="24"/>
        </w:rPr>
        <w:t>. За первые же годы Советской власти собрание Галереи значительно увеличилось, что вновь остро поставило вопрос о расширении ее площадей.</w:t>
      </w:r>
    </w:p>
    <w:p w:rsidR="00347EAC" w:rsidRDefault="00347EAC" w:rsidP="00347EAC">
      <w:pPr>
        <w:rPr>
          <w:sz w:val="24"/>
          <w:szCs w:val="24"/>
        </w:rPr>
      </w:pPr>
    </w:p>
    <w:tbl>
      <w:tblPr>
        <w:tblpPr w:leftFromText="180" w:rightFromText="180" w:vertAnchor="text" w:horzAnchor="margin" w:tblpX="60" w:tblpY="-315"/>
        <w:tblW w:w="48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860"/>
        <w:gridCol w:w="1815"/>
        <w:gridCol w:w="1721"/>
      </w:tblGrid>
      <w:tr w:rsidR="00A33BFF" w:rsidRPr="00514CB8" w:rsidTr="00A33BFF"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3BFF" w:rsidRPr="00514CB8" w:rsidRDefault="00A33BFF" w:rsidP="00A33B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3BFF" w:rsidRDefault="00A33BFF" w:rsidP="00A3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3BFF" w:rsidRDefault="00A33BFF" w:rsidP="00A3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3BFF" w:rsidRDefault="00A33BFF" w:rsidP="00A3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</w:p>
        </w:tc>
      </w:tr>
      <w:tr w:rsidR="00A33BFF" w:rsidRPr="00514CB8" w:rsidTr="00A33BFF"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FF" w:rsidRPr="00514CB8" w:rsidRDefault="00A33BFF" w:rsidP="00A33B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Третьяковская галерея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FF" w:rsidRPr="00514CB8" w:rsidRDefault="00A33BFF" w:rsidP="00A3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FF" w:rsidRPr="00514CB8" w:rsidRDefault="00A33BFF" w:rsidP="00A3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BFF" w:rsidRPr="00514CB8" w:rsidRDefault="00A33BFF" w:rsidP="00A3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</w:t>
            </w:r>
          </w:p>
        </w:tc>
      </w:tr>
    </w:tbl>
    <w:p w:rsidR="00347EAC" w:rsidRPr="00347EAC" w:rsidRDefault="00347EAC" w:rsidP="00347EAC">
      <w:pPr>
        <w:rPr>
          <w:sz w:val="24"/>
          <w:szCs w:val="24"/>
        </w:rPr>
      </w:pPr>
    </w:p>
    <w:p w:rsidR="00190AFE" w:rsidRPr="00347EAC" w:rsidRDefault="00190AFE" w:rsidP="00347EAC">
      <w:pPr>
        <w:rPr>
          <w:sz w:val="24"/>
          <w:szCs w:val="24"/>
        </w:rPr>
      </w:pPr>
      <w:bookmarkStart w:id="0" w:name="_GoBack"/>
      <w:bookmarkEnd w:id="0"/>
    </w:p>
    <w:sectPr w:rsidR="00190AFE" w:rsidRPr="00347EAC" w:rsidSect="00347EA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AC"/>
    <w:rsid w:val="00190AFE"/>
    <w:rsid w:val="00347EAC"/>
    <w:rsid w:val="00A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2</cp:revision>
  <dcterms:created xsi:type="dcterms:W3CDTF">2013-03-07T11:51:00Z</dcterms:created>
  <dcterms:modified xsi:type="dcterms:W3CDTF">2013-08-23T11:11:00Z</dcterms:modified>
</cp:coreProperties>
</file>